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5A8" w:rsidRDefault="008645A8" w:rsidP="008645A8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FF0000"/>
          <w:sz w:val="24"/>
          <w:szCs w:val="24"/>
        </w:rPr>
      </w:pPr>
    </w:p>
    <w:p w:rsidR="008645A8" w:rsidRDefault="008645A8" w:rsidP="008645A8">
      <w:pPr>
        <w:spacing w:after="0" w:line="240" w:lineRule="auto"/>
        <w:jc w:val="center"/>
      </w:pPr>
      <w:r>
        <w:rPr>
          <w:rFonts w:ascii="Arial" w:hAnsi="Arial" w:cs="Arial"/>
          <w:b/>
          <w:bCs/>
          <w:color w:val="000000"/>
          <w:sz w:val="48"/>
          <w:szCs w:val="48"/>
          <w:lang w:eastAsia="cs-CZ"/>
        </w:rPr>
        <w:t xml:space="preserve">Projekt dětského hřiště ulice J. Gagarina 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-318135</wp:posOffset>
                </wp:positionV>
                <wp:extent cx="5915660" cy="1181735"/>
                <wp:effectExtent l="0" t="0" r="8890" b="0"/>
                <wp:wrapNone/>
                <wp:docPr id="4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5660" cy="1181735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65DC01" id="Obdélník 4" o:spid="_x0000_s1026" style="position:absolute;margin-left:-8.55pt;margin-top:-25.05pt;width:465.8pt;height:9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0dogEAACMDAAAOAAAAZHJzL2Uyb0RvYy54bWysUktuGzEM3RfIHQTta3nS2I0HHgdwgnQT&#10;NAbSHkDWaDxC9AOpeuwjZZFT5GKl5E/Tdld0Q4jk0xPfo+Y3O2fZVgOa4Btejcacaa9Ca/ym4d+/&#10;3X+85gyT9K20weuG7zXym8XFh/kQa30Z+mBbDYxIPNZDbHifUqyFQNVrJ3EUovbU7AI4mSiFjWhB&#10;DsTurLgcj6diCNBGCEojUvXu0OSLwt91WqXHrkOdmG04zZZKhBLXOYrFXNYbkLE36jiG/IcpnDSe&#10;Hj1T3ckk2Q8wf1E5oyBg6NJIBSdC1xmliwZSU43/UPPUy6iLFjIH49km/H+06ut2Bcy0Db/izEtH&#10;K3pct28v1r+9PrOr7M8QsSbYU1xBVojxIahnpIb4rZMTPGJ2HbiMJX1sV8zen83Wu8QUFSezajKd&#10;0k4U9arquvr8aZKfE7I+XY+A6YsOjuVDw4G2WUyW2wdMB+gJUiYL1rT3xtqSwGZ9a4FtJW1+tlwu&#10;J7MjO76HWZ/BPuRrB8ZcKcoOYrKsdWj3Kzgppk2UKY+/Jq/6fV5u//rbi58AAAD//wMAUEsDBBQA&#10;BgAIAAAAIQBajHtE4QAAAAsBAAAPAAAAZHJzL2Rvd25yZXYueG1sTI/BSsQwEIbvgu8QRvBSdpO6&#10;tmptuogg6LoKrsJes01sis2kNOm2vr3jSW//MB//fFOuZ9exoxlC61FCuhTADNZet9hI+Hh/WFwD&#10;C1GhVp1HI+HbBFhXpyelKrSf8M0cd7FhVIKhUBJsjH3BeaitcSosfW+Qdp9+cCrSODRcD2qictfx&#10;CyFy7lSLdMGq3txbU3/tRifhKVsl+5fn1ym1Lnnc7t2Yb7aJlOdn890tsGjm+AfDrz6pQ0VOBz+i&#10;DqyTsEivUkIpZIICETfpZQbsQOgqF8Crkv//ofoBAAD//wMAUEsBAi0AFAAGAAgAAAAhALaDOJL+&#10;AAAA4QEAABMAAAAAAAAAAAAAAAAAAAAAAFtDb250ZW50X1R5cGVzXS54bWxQSwECLQAUAAYACAAA&#10;ACEAOP0h/9YAAACUAQAACwAAAAAAAAAAAAAAAAAvAQAAX3JlbHMvLnJlbHNQSwECLQAUAAYACAAA&#10;ACEAJ3m9HaIBAAAjAwAADgAAAAAAAAAAAAAAAAAuAgAAZHJzL2Uyb0RvYy54bWxQSwECLQAUAAYA&#10;CAAAACEAWox7ROEAAAALAQAADwAAAAAAAAAAAAAAAAD8AwAAZHJzL2Rvd25yZXYueG1sUEsFBgAA&#10;AAAEAAQA8wAAAAoFAAAAAA==&#10;" fillcolor="#9bbb59" stroked="f">
                <v:path arrowok="t"/>
              </v:rect>
            </w:pict>
          </mc:Fallback>
        </mc:AlternateContent>
      </w:r>
      <w:r>
        <w:rPr>
          <w:rFonts w:ascii="Arial" w:hAnsi="Arial" w:cs="Arial"/>
          <w:b/>
          <w:bCs/>
          <w:color w:val="000000"/>
          <w:sz w:val="48"/>
          <w:szCs w:val="48"/>
          <w:lang w:eastAsia="cs-CZ"/>
        </w:rPr>
        <w:t>Nymburk</w:t>
      </w:r>
    </w:p>
    <w:p w:rsidR="008645A8" w:rsidRDefault="008645A8" w:rsidP="008645A8">
      <w:pPr>
        <w:jc w:val="center"/>
        <w:rPr>
          <w:color w:val="FF0000"/>
          <w:sz w:val="44"/>
          <w:szCs w:val="44"/>
        </w:rPr>
      </w:pPr>
    </w:p>
    <w:p w:rsidR="008645A8" w:rsidRDefault="008645A8" w:rsidP="008645A8">
      <w:pPr>
        <w:jc w:val="center"/>
        <w:rPr>
          <w:color w:val="FF0000"/>
          <w:sz w:val="44"/>
          <w:szCs w:val="44"/>
        </w:rPr>
      </w:pPr>
    </w:p>
    <w:p w:rsidR="008645A8" w:rsidRDefault="008645A8" w:rsidP="008645A8">
      <w:pPr>
        <w:jc w:val="center"/>
        <w:rPr>
          <w:rFonts w:ascii="ISOCPEUR" w:hAnsi="ISOCPEUR"/>
          <w:sz w:val="40"/>
          <w:szCs w:val="40"/>
        </w:rPr>
      </w:pPr>
      <w:r>
        <w:rPr>
          <w:rFonts w:ascii="ISOCPEUR" w:hAnsi="ISOCPEUR"/>
          <w:sz w:val="40"/>
          <w:szCs w:val="40"/>
        </w:rPr>
        <w:t xml:space="preserve">DOKUMENTACE </w:t>
      </w:r>
    </w:p>
    <w:p w:rsidR="008645A8" w:rsidRDefault="008645A8" w:rsidP="008645A8">
      <w:pPr>
        <w:jc w:val="center"/>
        <w:rPr>
          <w:sz w:val="44"/>
          <w:szCs w:val="44"/>
        </w:rPr>
      </w:pPr>
      <w:r>
        <w:rPr>
          <w:rFonts w:ascii="ISOCPEUR" w:hAnsi="ISOCPEUR"/>
          <w:sz w:val="40"/>
          <w:szCs w:val="40"/>
        </w:rPr>
        <w:t xml:space="preserve">PRO </w:t>
      </w:r>
      <w:r w:rsidR="000401CE">
        <w:rPr>
          <w:rFonts w:ascii="ISOCPEUR" w:hAnsi="ISOCPEUR"/>
          <w:sz w:val="40"/>
          <w:szCs w:val="40"/>
        </w:rPr>
        <w:t>PROVÁDĚNÍ STAVBY</w:t>
      </w:r>
    </w:p>
    <w:p w:rsidR="008645A8" w:rsidRDefault="008645A8" w:rsidP="008645A8">
      <w:pPr>
        <w:jc w:val="center"/>
        <w:rPr>
          <w:sz w:val="44"/>
          <w:szCs w:val="44"/>
        </w:rPr>
      </w:pPr>
    </w:p>
    <w:p w:rsidR="00E12103" w:rsidRDefault="00E12103" w:rsidP="008645A8">
      <w:pPr>
        <w:jc w:val="center"/>
        <w:rPr>
          <w:sz w:val="44"/>
          <w:szCs w:val="44"/>
        </w:rPr>
      </w:pPr>
    </w:p>
    <w:p w:rsidR="003669E3" w:rsidRDefault="003669E3" w:rsidP="008645A8">
      <w:pPr>
        <w:jc w:val="center"/>
        <w:rPr>
          <w:sz w:val="44"/>
          <w:szCs w:val="44"/>
        </w:rPr>
      </w:pPr>
    </w:p>
    <w:p w:rsidR="008645A8" w:rsidRDefault="008645A8" w:rsidP="008645A8">
      <w:pPr>
        <w:jc w:val="center"/>
        <w:rPr>
          <w:sz w:val="44"/>
          <w:szCs w:val="44"/>
        </w:rPr>
      </w:pPr>
      <w:r>
        <w:rPr>
          <w:sz w:val="44"/>
          <w:szCs w:val="44"/>
        </w:rPr>
        <w:t>D. VÝKRESOVÁ DOKUMENTACE</w:t>
      </w:r>
    </w:p>
    <w:p w:rsidR="008645A8" w:rsidRDefault="008645A8" w:rsidP="008645A8">
      <w:pPr>
        <w:jc w:val="center"/>
        <w:rPr>
          <w:color w:val="FF0000"/>
          <w:sz w:val="32"/>
          <w:szCs w:val="32"/>
        </w:rPr>
      </w:pPr>
    </w:p>
    <w:p w:rsidR="00E12103" w:rsidRDefault="00E12103" w:rsidP="008645A8">
      <w:pPr>
        <w:jc w:val="center"/>
        <w:rPr>
          <w:color w:val="FF0000"/>
          <w:sz w:val="32"/>
          <w:szCs w:val="32"/>
        </w:rPr>
      </w:pPr>
    </w:p>
    <w:p w:rsidR="008645A8" w:rsidRDefault="008645A8" w:rsidP="008645A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Projektant: </w:t>
      </w:r>
    </w:p>
    <w:p w:rsidR="008645A8" w:rsidRDefault="000401CE" w:rsidP="008645A8">
      <w:pPr>
        <w:jc w:val="center"/>
        <w:rPr>
          <w:color w:val="000000"/>
        </w:rPr>
      </w:pPr>
      <w:r>
        <w:rPr>
          <w:color w:val="000000"/>
        </w:rPr>
        <w:t>Ing</w:t>
      </w:r>
      <w:r w:rsidR="008645A8">
        <w:rPr>
          <w:color w:val="000000"/>
        </w:rPr>
        <w:t>. Lucie Pánová</w:t>
      </w:r>
    </w:p>
    <w:p w:rsidR="008645A8" w:rsidRPr="00901FCA" w:rsidRDefault="008645A8" w:rsidP="008645A8">
      <w:pPr>
        <w:jc w:val="center"/>
        <w:rPr>
          <w:color w:val="000000"/>
        </w:rPr>
      </w:pPr>
    </w:p>
    <w:p w:rsidR="008645A8" w:rsidRDefault="008645A8" w:rsidP="008645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Zodpovědný projektant:</w:t>
      </w:r>
    </w:p>
    <w:p w:rsidR="008645A8" w:rsidRDefault="008645A8" w:rsidP="008645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Ing. arch. Martin Jirovský, Ph. D., MBA</w:t>
      </w:r>
    </w:p>
    <w:p w:rsidR="008645A8" w:rsidRDefault="008645A8" w:rsidP="008645A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Převrátilská 330, 390 01 Tábor</w:t>
      </w:r>
    </w:p>
    <w:p w:rsidR="008645A8" w:rsidRDefault="008645A8" w:rsidP="008645A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IČ: 625 49 201</w:t>
      </w:r>
    </w:p>
    <w:p w:rsidR="008645A8" w:rsidRDefault="008645A8" w:rsidP="008645A8">
      <w:pPr>
        <w:jc w:val="center"/>
        <w:rPr>
          <w:rFonts w:ascii="Arial" w:hAnsi="Arial" w:cs="Arial"/>
        </w:rPr>
      </w:pPr>
    </w:p>
    <w:p w:rsidR="008645A8" w:rsidRDefault="008645A8" w:rsidP="008645A8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Termín:</w:t>
      </w:r>
      <w:r w:rsidR="000401CE">
        <w:rPr>
          <w:rFonts w:ascii="Arial" w:hAnsi="Arial" w:cs="Arial"/>
          <w:b/>
          <w:bCs/>
          <w:color w:val="000000"/>
        </w:rPr>
        <w:t xml:space="preserve"> září</w:t>
      </w:r>
      <w:r>
        <w:rPr>
          <w:rFonts w:ascii="Arial" w:hAnsi="Arial" w:cs="Arial"/>
          <w:b/>
          <w:bCs/>
          <w:color w:val="000000"/>
        </w:rPr>
        <w:t xml:space="preserve"> 2016</w:t>
      </w:r>
    </w:p>
    <w:p w:rsidR="000968EA" w:rsidRDefault="000968EA" w:rsidP="008645A8">
      <w:pPr>
        <w:jc w:val="center"/>
        <w:rPr>
          <w:rFonts w:ascii="Arial" w:hAnsi="Arial" w:cs="Arial"/>
          <w:b/>
          <w:bCs/>
          <w:color w:val="000000"/>
        </w:rPr>
      </w:pPr>
    </w:p>
    <w:p w:rsidR="000968EA" w:rsidRDefault="000968EA" w:rsidP="008645A8">
      <w:pPr>
        <w:jc w:val="center"/>
        <w:rPr>
          <w:rFonts w:ascii="Arial" w:hAnsi="Arial" w:cs="Arial"/>
          <w:b/>
          <w:bCs/>
          <w:color w:val="000000"/>
        </w:rPr>
      </w:pPr>
    </w:p>
    <w:p w:rsidR="008645A8" w:rsidRDefault="008645A8" w:rsidP="008645A8">
      <w:pPr>
        <w:pStyle w:val="4992uroven"/>
        <w:ind w:left="0" w:firstLine="0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lastRenderedPageBreak/>
        <w:t>D.1</w:t>
      </w:r>
      <w:r>
        <w:rPr>
          <w:rFonts w:ascii="Times New Roman" w:hAnsi="Times New Roman" w:cs="Times New Roman"/>
          <w:color w:val="00000A"/>
          <w:sz w:val="24"/>
          <w:szCs w:val="24"/>
        </w:rPr>
        <w:tab/>
        <w:t>Dokumentace stavebního nebo inženýrského objektu</w:t>
      </w:r>
    </w:p>
    <w:p w:rsidR="008645A8" w:rsidRDefault="008645A8" w:rsidP="008645A8">
      <w:pPr>
        <w:pStyle w:val="4993uroven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D.1.1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>Architektonicko-stavební řešení</w:t>
      </w:r>
    </w:p>
    <w:p w:rsidR="008645A8" w:rsidRDefault="008645A8" w:rsidP="008645A8">
      <w:pPr>
        <w:widowControl w:val="0"/>
        <w:spacing w:before="240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D.1.1.a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Účel objektu</w:t>
      </w:r>
    </w:p>
    <w:p w:rsidR="008645A8" w:rsidRDefault="008645A8" w:rsidP="008645A8">
      <w:pPr>
        <w:pStyle w:val="499textodrazeny"/>
        <w:tabs>
          <w:tab w:val="left" w:pos="1080"/>
        </w:tabs>
        <w:spacing w:before="0"/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Objekt je urče</w:t>
      </w:r>
      <w:r w:rsidR="00EF1AEF">
        <w:rPr>
          <w:rFonts w:ascii="Times New Roman" w:hAnsi="Times New Roman" w:cs="Times New Roman"/>
          <w:color w:val="00000A"/>
          <w:sz w:val="24"/>
          <w:szCs w:val="24"/>
        </w:rPr>
        <w:t>n pro volnočasové aktivity dětí, mládeže a dospělých.</w:t>
      </w:r>
    </w:p>
    <w:p w:rsidR="008645A8" w:rsidRDefault="008645A8" w:rsidP="008645A8">
      <w:pPr>
        <w:widowControl w:val="0"/>
        <w:spacing w:before="240" w:after="0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D.1.1.b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Architektonické, výtvarné, materiálové, dispoziční a provozní řešení</w:t>
      </w:r>
    </w:p>
    <w:p w:rsidR="008645A8" w:rsidRPr="00901FCA" w:rsidRDefault="008645A8" w:rsidP="000968EA">
      <w:pPr>
        <w:widowControl w:val="0"/>
        <w:spacing w:before="240" w:line="240" w:lineRule="auto"/>
        <w:ind w:left="709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901FCA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Jedná se o návrh dětského hřiště na místě stávajícího, nefunkčního. Hřiště se nachází ve vnitrobloku panelových domů, který je uzavřen ze 3 stran komunikací a z jedné strany parkem. </w:t>
      </w:r>
    </w:p>
    <w:p w:rsidR="008645A8" w:rsidRPr="00901FCA" w:rsidRDefault="008645A8" w:rsidP="000968EA">
      <w:pPr>
        <w:widowControl w:val="0"/>
        <w:spacing w:before="240" w:line="240" w:lineRule="auto"/>
        <w:ind w:left="709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901FCA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Tvar hřiště je obdélníkový. Hřiště se skládá ze zatravněného fotbalového hřiště, z víceúčelového hřiště s povrchem EPDM, ze zóny s herními prvky pro nejmenší děti a ze zóny s herními a posilovacími prvky pro mládež a dospělé. </w:t>
      </w:r>
      <w:r w:rsidR="00E07A70" w:rsidRPr="00901FCA">
        <w:rPr>
          <w:rFonts w:ascii="Times New Roman" w:eastAsia="Calibri" w:hAnsi="Times New Roman" w:cs="Times New Roman"/>
          <w:color w:val="00000A"/>
          <w:sz w:val="24"/>
          <w:szCs w:val="24"/>
        </w:rPr>
        <w:t>Návrh počítá s umístěním veřejného osvětlení, mlatové cesty, vodní mlhy, veřejného pítka, laviček, odpadkových košů a informační tabule s provozním řádem hřiště.</w:t>
      </w:r>
    </w:p>
    <w:p w:rsidR="008645A8" w:rsidRDefault="008645A8" w:rsidP="000968EA">
      <w:pPr>
        <w:widowControl w:val="0"/>
        <w:spacing w:before="240" w:line="240" w:lineRule="auto"/>
        <w:ind w:left="709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901FCA">
        <w:rPr>
          <w:rFonts w:ascii="Times New Roman" w:eastAsia="Calibri" w:hAnsi="Times New Roman" w:cs="Times New Roman"/>
          <w:color w:val="00000A"/>
          <w:sz w:val="24"/>
          <w:szCs w:val="24"/>
        </w:rPr>
        <w:t>Oplocení je přístupné pomocí 4 vchodů. Prostor bude vyplněn typickými herními prvky, kt</w:t>
      </w:r>
      <w:r w:rsidR="005551BC">
        <w:rPr>
          <w:rFonts w:ascii="Times New Roman" w:eastAsia="Calibri" w:hAnsi="Times New Roman" w:cs="Times New Roman"/>
          <w:color w:val="00000A"/>
          <w:sz w:val="24"/>
          <w:szCs w:val="24"/>
        </w:rPr>
        <w:t>eré jsou opatřeny certifikací a</w:t>
      </w:r>
      <w:r w:rsidRPr="00901FCA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jsou </w:t>
      </w:r>
      <w:r w:rsidRPr="00901FCA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v souladu s podmínkami ČSN EN 1176, ČSN EN 1177. </w:t>
      </w:r>
      <w:r w:rsidR="00E07A70">
        <w:rPr>
          <w:rFonts w:ascii="Times New Roman" w:hAnsi="Times New Roman" w:cs="Times New Roman"/>
          <w:bCs/>
          <w:sz w:val="24"/>
          <w:szCs w:val="24"/>
        </w:rPr>
        <w:t xml:space="preserve">Herní prvky musí svou konstrukcí a nosností odpovídat možnosti použití i dospělými osobami, resp. případnému vandalismu. </w:t>
      </w:r>
      <w:r w:rsidR="00E07A70" w:rsidRPr="00EF1AEF">
        <w:rPr>
          <w:rFonts w:ascii="Times New Roman" w:hAnsi="Times New Roman" w:cs="Times New Roman"/>
          <w:bCs/>
          <w:sz w:val="24"/>
          <w:szCs w:val="24"/>
        </w:rPr>
        <w:t>Dopadové plochy herních prvků se nesmí vzájemně prolínat</w:t>
      </w:r>
      <w:r w:rsidR="00E07A70">
        <w:rPr>
          <w:rFonts w:ascii="Times New Roman" w:hAnsi="Times New Roman" w:cs="Times New Roman"/>
          <w:bCs/>
          <w:sz w:val="24"/>
          <w:szCs w:val="24"/>
        </w:rPr>
        <w:t>, ani se</w:t>
      </w:r>
      <w:r w:rsidR="00E07A70" w:rsidRPr="00EF1AEF">
        <w:rPr>
          <w:rFonts w:ascii="Times New Roman" w:hAnsi="Times New Roman" w:cs="Times New Roman"/>
          <w:bCs/>
          <w:sz w:val="24"/>
          <w:szCs w:val="24"/>
        </w:rPr>
        <w:t xml:space="preserve"> křížit se zpevněnými plochami či jinými pevnými</w:t>
      </w:r>
      <w:r w:rsidR="00E07A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07A70" w:rsidRPr="00EF1AEF">
        <w:rPr>
          <w:rFonts w:ascii="Times New Roman" w:hAnsi="Times New Roman" w:cs="Times New Roman"/>
          <w:bCs/>
          <w:sz w:val="24"/>
          <w:szCs w:val="24"/>
        </w:rPr>
        <w:t>konstrukcemi a zařízeními hřiště.</w:t>
      </w:r>
      <w:r w:rsidR="00E07A7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645A8" w:rsidRDefault="008645A8" w:rsidP="000968EA">
      <w:pPr>
        <w:widowControl w:val="0"/>
        <w:spacing w:before="240" w:line="240" w:lineRule="auto"/>
        <w:ind w:left="709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</w:rPr>
        <w:t>Dispoziční řešení je zřejmé z koordinační situace.</w:t>
      </w:r>
    </w:p>
    <w:p w:rsidR="008645A8" w:rsidRDefault="008645A8" w:rsidP="008645A8">
      <w:pPr>
        <w:widowControl w:val="0"/>
        <w:spacing w:before="240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D.1.1.c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Bezbariérové užívání stavby</w:t>
      </w:r>
    </w:p>
    <w:p w:rsidR="008645A8" w:rsidRDefault="008645A8" w:rsidP="008645A8">
      <w:p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Pozemek a hřiště jsou přístupné pro osoby s omezenou schopností pohybu.</w:t>
      </w:r>
    </w:p>
    <w:p w:rsidR="008645A8" w:rsidRDefault="008645A8" w:rsidP="008645A8">
      <w:pPr>
        <w:widowControl w:val="0"/>
        <w:spacing w:before="240" w:after="0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D.1.1.d   Konstrukční a stavebně technické řešení</w:t>
      </w:r>
    </w:p>
    <w:p w:rsidR="002F6239" w:rsidRDefault="002F6239" w:rsidP="00D5551D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</w:pPr>
    </w:p>
    <w:p w:rsidR="00D5551D" w:rsidRPr="002F6239" w:rsidRDefault="00D5551D" w:rsidP="00D5551D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</w:pPr>
      <w:r w:rsidRPr="002F6239"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  <w:t>SO 01 Oplocení – pletivo</w:t>
      </w:r>
    </w:p>
    <w:p w:rsidR="002F6239" w:rsidRDefault="002F6239" w:rsidP="002F6239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 w:rsidRPr="002F6239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Jedná se zejména o potřebu nočního zabezpečení hřiště proti nevhodnému užívání osob s asociálními sklony</w:t>
      </w:r>
      <w:r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 xml:space="preserve"> A proti zamezení vstupu psů.</w:t>
      </w:r>
    </w:p>
    <w:p w:rsidR="002F6239" w:rsidRDefault="002F6239" w:rsidP="002F6239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</w:p>
    <w:p w:rsidR="002F6239" w:rsidRDefault="00545081" w:rsidP="002F6239">
      <w:pPr>
        <w:pStyle w:val="4992uroven"/>
        <w:spacing w:before="0"/>
        <w:ind w:left="1134" w:firstLine="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545081">
        <w:rPr>
          <w:rFonts w:ascii="Times New Roman" w:hAnsi="Times New Roman" w:cs="Times New Roman"/>
          <w:b w:val="0"/>
          <w:sz w:val="24"/>
          <w:szCs w:val="24"/>
        </w:rPr>
        <w:t xml:space="preserve">Kolem dětského hřiště jsou navrženy 2 druhy oplocení. Oplocení, které se skládá z kovových sloupků </w:t>
      </w:r>
      <w:r w:rsidRPr="00545081">
        <w:rPr>
          <w:rFonts w:ascii="Cambria Math" w:hAnsi="Cambria Math" w:cs="Cambria Math"/>
          <w:b w:val="0"/>
          <w:sz w:val="24"/>
          <w:szCs w:val="24"/>
        </w:rPr>
        <w:t>∅</w:t>
      </w:r>
      <w:r w:rsidRPr="00545081">
        <w:rPr>
          <w:rFonts w:ascii="Times New Roman" w:hAnsi="Times New Roman" w:cs="Times New Roman"/>
          <w:b w:val="0"/>
          <w:sz w:val="24"/>
          <w:szCs w:val="24"/>
        </w:rPr>
        <w:t>100 mm, dl. 4000 mm/1700 mm, materiál pozink s poplastovou úpravou, opatřeny krytem, barva zelená. Sloupky jsou kotveny do betonových patek C16/20 Ø500 mm,  v= 1000 mm. Výplň je tvořena z ocelového rámu L profil 30x20x3 mm o rozměru 1900x900 mm a výdřevy z dubových prken 120x32 mm. Nad ocelovým rámem bude výplň tvořena plotovým pletivem o rozměrech 1800x1900 mm s oky 50x50 mm. V případě nižšího plotu v=1000 mm je výdřeva vertikální.</w:t>
      </w:r>
    </w:p>
    <w:p w:rsidR="00545081" w:rsidRPr="002F6239" w:rsidRDefault="00545081" w:rsidP="002F6239">
      <w:pPr>
        <w:pStyle w:val="4992uroven"/>
        <w:spacing w:before="0"/>
        <w:ind w:left="1134" w:firstLine="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2F6239" w:rsidRDefault="002F6239" w:rsidP="002F6239">
      <w:pPr>
        <w:pStyle w:val="4992uroven"/>
        <w:spacing w:before="0"/>
        <w:ind w:left="1134" w:firstLine="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2F6239">
        <w:rPr>
          <w:rFonts w:ascii="Times New Roman" w:hAnsi="Times New Roman" w:cs="Times New Roman"/>
          <w:b w:val="0"/>
          <w:sz w:val="24"/>
          <w:szCs w:val="24"/>
        </w:rPr>
        <w:t xml:space="preserve">Podél oplocení bude zřízen okapový chodník. Povrch bude tvořen betonovou dlažbou 0,5x0,5x0,06 m. Podkladní části jsou tvořeny ložní vrstvou fr. 4/8, tl. 40 mm, štěrkodrtí fr. 8/16, tl. 150 mm, drceným kamenivem fr.  0/63, tl. 100 mm. Chodník bude lemován parkovým obrubníkem  v= 200 mm, tl. 80 mm šedé barvy zasazeným do betonového lože C 16/20. </w:t>
      </w:r>
    </w:p>
    <w:p w:rsidR="00E556C9" w:rsidRDefault="00E556C9" w:rsidP="002F6239">
      <w:pPr>
        <w:pStyle w:val="4992uroven"/>
        <w:spacing w:before="0"/>
        <w:ind w:left="1134" w:firstLine="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2F6239" w:rsidRDefault="00D5551D" w:rsidP="002F6239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</w:pPr>
      <w:r w:rsidRPr="002F6239"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  <w:lastRenderedPageBreak/>
        <w:t>SO 02 Oplocení – betonové</w:t>
      </w:r>
    </w:p>
    <w:p w:rsidR="003D318B" w:rsidRDefault="003D318B" w:rsidP="003D318B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 w:rsidRPr="002F6239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Jedná se zejména o potřebu nočního zabezpečení hřiště proti nevhodnému užívání osob s asociálními sklony</w:t>
      </w:r>
      <w:r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 xml:space="preserve"> </w:t>
      </w:r>
      <w:r w:rsidR="00EF1AEF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a</w:t>
      </w:r>
      <w:r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 xml:space="preserve"> proti zamezení vstupu psů.</w:t>
      </w:r>
    </w:p>
    <w:p w:rsidR="002F6239" w:rsidRDefault="002F6239" w:rsidP="002F6239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</w:p>
    <w:p w:rsidR="002F6239" w:rsidRPr="002F6239" w:rsidRDefault="002F6239" w:rsidP="002F6239">
      <w:pPr>
        <w:pStyle w:val="4992uroven"/>
        <w:spacing w:before="0"/>
        <w:ind w:left="1134" w:firstLine="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2F6239">
        <w:rPr>
          <w:rFonts w:ascii="Times New Roman" w:hAnsi="Times New Roman" w:cs="Times New Roman"/>
          <w:b w:val="0"/>
          <w:sz w:val="24"/>
          <w:szCs w:val="24"/>
        </w:rPr>
        <w:t>Oplocení je z betonových pohled</w:t>
      </w:r>
      <w:r w:rsidR="00EF1AEF">
        <w:rPr>
          <w:rFonts w:ascii="Times New Roman" w:hAnsi="Times New Roman" w:cs="Times New Roman"/>
          <w:b w:val="0"/>
          <w:sz w:val="24"/>
          <w:szCs w:val="24"/>
        </w:rPr>
        <w:t>ových prefabrikátů, které tvoří</w:t>
      </w:r>
      <w:r w:rsidRPr="002F6239">
        <w:rPr>
          <w:rFonts w:ascii="Times New Roman" w:hAnsi="Times New Roman" w:cs="Times New Roman"/>
          <w:b w:val="0"/>
          <w:sz w:val="24"/>
          <w:szCs w:val="24"/>
        </w:rPr>
        <w:t xml:space="preserve"> dvouúrovňovou zídku k posezení. Výška nižší úrovně je 0,5 m, vyšší úrovně 1 m. šířka celé konstrukce je 0,8 m. Délka prefabrikátů je 2000 mm. Pod zdí bude vyhotovena betonová deska tl. 100 mm. Podkladní části jsou tvořeny štěrkodrtí fr. 8/16, tl. 150 mm, drceným kamenivem fr. 0/63, tl. 100 mm. Pod objektem bude zemina hutněná po 150 mm v mocnosti 600 mm. </w:t>
      </w:r>
    </w:p>
    <w:p w:rsidR="002F6239" w:rsidRPr="002F6239" w:rsidRDefault="002F6239" w:rsidP="002F6239">
      <w:pPr>
        <w:pStyle w:val="4992uroven"/>
        <w:spacing w:before="0"/>
        <w:ind w:left="1134" w:firstLine="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2F6239" w:rsidRPr="002F6239" w:rsidRDefault="002F6239" w:rsidP="002F6239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Podél plotu</w:t>
      </w:r>
      <w:r w:rsidRPr="002F6239">
        <w:rPr>
          <w:rFonts w:ascii="Times New Roman" w:hAnsi="Times New Roman" w:cs="Times New Roman"/>
          <w:b w:val="0"/>
          <w:sz w:val="24"/>
          <w:szCs w:val="24"/>
        </w:rPr>
        <w:t xml:space="preserve"> bude zřízen okapový chodník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se stejnými parametry jako u předchozího oplocení. </w:t>
      </w:r>
    </w:p>
    <w:p w:rsidR="002F6239" w:rsidRDefault="002F6239" w:rsidP="00D5551D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</w:p>
    <w:p w:rsidR="00D5551D" w:rsidRPr="002F6239" w:rsidRDefault="00D5551D" w:rsidP="00D5551D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</w:pPr>
      <w:r w:rsidRPr="002F6239"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  <w:t>SO 03 Mlatové cesty</w:t>
      </w:r>
    </w:p>
    <w:p w:rsidR="002F6239" w:rsidRDefault="002F6239" w:rsidP="002F6239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 w:rsidRPr="002F6239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 xml:space="preserve">Jedná se zejména o potřebu bezpečné komunikace pro pěší a ve vymezených úsecích </w:t>
      </w:r>
      <w:r w:rsidR="003D318B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 xml:space="preserve">pro </w:t>
      </w:r>
      <w:r w:rsidRPr="002F6239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technické údržby.</w:t>
      </w:r>
    </w:p>
    <w:p w:rsidR="002F6239" w:rsidRDefault="002F6239" w:rsidP="002F6239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</w:p>
    <w:p w:rsidR="002F6239" w:rsidRPr="002F6239" w:rsidRDefault="002F6239" w:rsidP="002F6239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 w:rsidRPr="002F6239">
        <w:rPr>
          <w:rFonts w:ascii="Times New Roman" w:hAnsi="Times New Roman" w:cs="Times New Roman"/>
          <w:b w:val="0"/>
          <w:sz w:val="24"/>
          <w:szCs w:val="24"/>
        </w:rPr>
        <w:t>Mlatový chodník je široký 1,5 m, u hlavního vstupu se rozšiřuje na 2,5 m. Mlatový povrch je tvořený drceným kamenivem fr. 0/4, tl. 40 mm. Ložní vrstva je z kameniva fr. 4/8, tl. 50 mm a ze štěrkodrti fr. 0/63, tl. 150 mm. Cesta bude lemována parkovým obrubníkem  v= 200 mm, tl. 80 mm šedé barvy zasazeným do betonového lože C 16/20.</w:t>
      </w:r>
    </w:p>
    <w:p w:rsidR="002F6239" w:rsidRDefault="002F6239" w:rsidP="00D5551D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</w:p>
    <w:p w:rsidR="00D5551D" w:rsidRPr="002F6239" w:rsidRDefault="00D5551D" w:rsidP="00D5551D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</w:pPr>
      <w:r w:rsidRPr="002F6239"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  <w:t>SO 04 Dopadové plochy včetně mobiliáře</w:t>
      </w:r>
    </w:p>
    <w:p w:rsidR="002F6239" w:rsidRPr="00EF1AEF" w:rsidRDefault="002F6239" w:rsidP="00EF1AEF">
      <w:pPr>
        <w:suppressAutoHyphens w:val="0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2F6239">
        <w:rPr>
          <w:rFonts w:ascii="Times New Roman" w:hAnsi="Times New Roman" w:cs="Times New Roman"/>
          <w:color w:val="00000A"/>
          <w:sz w:val="24"/>
          <w:szCs w:val="24"/>
        </w:rPr>
        <w:t>Jedná se o plochy tvořící nedílnou součást herních prvků jako bezpečnostních prvků herních aktivit, součástí je mobiliář</w:t>
      </w:r>
      <w:r w:rsidR="00EF1AEF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. </w:t>
      </w:r>
      <w:r w:rsidR="00EF1AEF" w:rsidRPr="00EF1AEF">
        <w:rPr>
          <w:rFonts w:ascii="Times New Roman" w:hAnsi="Times New Roman" w:cs="Times New Roman"/>
          <w:bCs/>
          <w:sz w:val="24"/>
          <w:szCs w:val="24"/>
        </w:rPr>
        <w:t>Dopadové plochy navrhovaných herních prvků se nesmí vzájemně prolínat</w:t>
      </w:r>
      <w:r w:rsidR="00EF1AEF">
        <w:rPr>
          <w:rFonts w:ascii="Times New Roman" w:hAnsi="Times New Roman" w:cs="Times New Roman"/>
          <w:bCs/>
          <w:sz w:val="24"/>
          <w:szCs w:val="24"/>
        </w:rPr>
        <w:t>, ani se</w:t>
      </w:r>
      <w:r w:rsidR="00EF1AEF" w:rsidRPr="00EF1AEF">
        <w:rPr>
          <w:rFonts w:ascii="Times New Roman" w:hAnsi="Times New Roman" w:cs="Times New Roman"/>
          <w:bCs/>
          <w:sz w:val="24"/>
          <w:szCs w:val="24"/>
        </w:rPr>
        <w:t xml:space="preserve"> křížit se zpevněnými plochami či jinými pevnými</w:t>
      </w:r>
      <w:r w:rsidR="00EF1A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1AEF" w:rsidRPr="00EF1AEF">
        <w:rPr>
          <w:rFonts w:ascii="Times New Roman" w:hAnsi="Times New Roman" w:cs="Times New Roman"/>
          <w:bCs/>
          <w:sz w:val="24"/>
          <w:szCs w:val="24"/>
        </w:rPr>
        <w:t>konstrukcemi a zařízeními hřiště.</w:t>
      </w:r>
    </w:p>
    <w:p w:rsidR="002F6239" w:rsidRDefault="002F6239" w:rsidP="002F6239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</w:p>
    <w:p w:rsidR="002F6239" w:rsidRPr="00B2566D" w:rsidRDefault="002F6239" w:rsidP="002F6239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 w:rsidRPr="002F6239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 xml:space="preserve">Prostor bude vyplněn typickými herními prvky, které jsou opatřeny certifikací a jsou v souladu s podmínkami ČSN EN 1176, ČSN EN 1177. Hlavní nosnou konstrukci tvoří převážně kov. Kotvení a základy pro jednotlivé herní prvky </w:t>
      </w:r>
      <w:r w:rsidR="00EF1AEF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jsou řešeny dle pokynů výrobců.</w:t>
      </w:r>
      <w:r w:rsidR="00B2566D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 xml:space="preserve"> </w:t>
      </w:r>
      <w:r w:rsidR="00B2566D" w:rsidRPr="00B2566D">
        <w:rPr>
          <w:rFonts w:ascii="Times New Roman" w:hAnsi="Times New Roman" w:cs="Times New Roman"/>
          <w:b w:val="0"/>
          <w:bCs w:val="0"/>
          <w:sz w:val="24"/>
          <w:szCs w:val="24"/>
        </w:rPr>
        <w:t>Herní prvky musí svou konstrukcí a nosností odpovídat možnosti použití i dospělými osobami, resp. případnému vandalismu.</w:t>
      </w:r>
    </w:p>
    <w:p w:rsidR="002F6239" w:rsidRPr="002F6239" w:rsidRDefault="002F6239" w:rsidP="002F6239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</w:p>
    <w:p w:rsidR="002F6239" w:rsidRDefault="002F6239" w:rsidP="002F6239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 w:rsidRPr="002F6239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Nedílnou součástí herních prvků jsou bezpečnostní a dopadové plochy ze štěrku fr. 4/8 tl. 300 mm. Mezi terénem a štěrkem je navržena geotextílie 200g/m². Povrch pískoviště se skládá z písku tl. 400 mm, betonové dlaždice 500x500x50  s geotextílií 200g/m2, štěrkodrť fr. 16/32 tl. 250 mm. Povrch dopadových ploch se skládá ze štěrku fr. 4/8 tl. 300 mm.</w:t>
      </w:r>
    </w:p>
    <w:p w:rsidR="002F6239" w:rsidRDefault="002F6239" w:rsidP="002F6239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</w:p>
    <w:p w:rsidR="002F6239" w:rsidRPr="002F6239" w:rsidRDefault="002F6239" w:rsidP="002F6239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 w:rsidRPr="002F6239">
        <w:rPr>
          <w:rFonts w:ascii="Times New Roman" w:hAnsi="Times New Roman" w:cs="Times New Roman"/>
          <w:b w:val="0"/>
          <w:sz w:val="24"/>
          <w:szCs w:val="24"/>
        </w:rPr>
        <w:t>Vstupní informační sloupek je navržen typizovaný, kovový. Kotvení bude provedeno dle doporučení výrobce. Celkem je navrženo 12 ks laviček. Kotveny budou dle pokynů výrobce. Jsou navrženy 4 nové odpadkové koše. Kotveny budou dle pokynů výrobce.</w:t>
      </w:r>
    </w:p>
    <w:p w:rsidR="002F6239" w:rsidRDefault="002F6239" w:rsidP="002F6239">
      <w:pPr>
        <w:pStyle w:val="4992uroven"/>
        <w:spacing w:before="0"/>
        <w:ind w:left="0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</w:p>
    <w:p w:rsidR="00D5551D" w:rsidRPr="002F6239" w:rsidRDefault="00D5551D" w:rsidP="00D5551D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</w:pPr>
      <w:r w:rsidRPr="002F6239"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  <w:t>SO 05 Víceúčelové hřiště</w:t>
      </w:r>
    </w:p>
    <w:p w:rsidR="00F02D84" w:rsidRPr="002F6239" w:rsidRDefault="00F02D84" w:rsidP="00F02D84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Víceúčelové hřiště je navrženo z EPDM povrchu tl. 10 mm. Pod nášlapnou vrstvou bude umístěna ELD podložka tl. 50 mm. Podkladní vrstvy jsou navrženy ze štěrkopísku frakce 0/4 tl. 150</w:t>
      </w:r>
      <w:r w:rsidR="004018B6">
        <w:rPr>
          <w:rFonts w:ascii="Times New Roman" w:hAnsi="Times New Roman" w:cs="Times New Roman"/>
          <w:b w:val="0"/>
          <w:sz w:val="24"/>
          <w:szCs w:val="24"/>
        </w:rPr>
        <w:t xml:space="preserve"> mm, štěrkodrtě frakce 0/32 tl. 250 mm a ze štěrkodrtě frakce 63/32 tl. 250 mm.</w:t>
      </w:r>
    </w:p>
    <w:p w:rsidR="00F02D84" w:rsidRDefault="00D5551D" w:rsidP="00F02D84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</w:pPr>
      <w:r w:rsidRPr="002F6239"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  <w:lastRenderedPageBreak/>
        <w:t>SO 06 Veřejné osvětlení</w:t>
      </w:r>
    </w:p>
    <w:p w:rsidR="003D318B" w:rsidRPr="00F02D84" w:rsidRDefault="00370BCD" w:rsidP="00F02D84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</w:pPr>
      <w:r w:rsidRPr="00370BCD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Pro osvětlení budou využity stávající odběrná místa, osvětlovací stožáry budou osazeny do betonových základů 1,</w:t>
      </w:r>
      <w:r w:rsidR="00F02D84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5</w:t>
      </w:r>
      <w:r w:rsidRPr="00370BCD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 xml:space="preserve"> m hlubokých. V základech budou připraveny otvory pro vstup a výstup kabelu ze stožáru. Výkopové práce se budou provádět ručně případně lehkou mechanizací. Kabeláž bude provedena kabely CYKY 4 x 16 mm, které budou vloženy do plastových chrániček DN 50. Kabely budou uloženy v pískovém loži, nad kabelem bude umístěna výstražná plastová fólie šířky 300 mm, červená, na dně rýhy bude umístěn </w:t>
      </w:r>
      <w:r w:rsidR="00F02D84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zemnící vodič FeZn 10 mm, na něj</w:t>
      </w:r>
      <w:r w:rsidRPr="00370BCD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ž se uzemní jednotlivé stožáry. Krytí budou v souladu s ČSN 73 6005 v zeleném pásu alespoň 0,35 m, pod komunikací alespoň 1,0 m.</w:t>
      </w:r>
    </w:p>
    <w:p w:rsidR="00F02D84" w:rsidRDefault="00F02D84" w:rsidP="003D318B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</w:pPr>
    </w:p>
    <w:p w:rsidR="003D318B" w:rsidRDefault="00D5551D" w:rsidP="00F02D84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</w:pPr>
      <w:r w:rsidRPr="002F6239"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  <w:t>SO 07 Sadové a terénní úpravy</w:t>
      </w:r>
    </w:p>
    <w:p w:rsidR="008645A8" w:rsidRDefault="008645A8" w:rsidP="003D318B">
      <w:pPr>
        <w:pStyle w:val="4992uroven"/>
        <w:spacing w:before="0"/>
        <w:ind w:left="1134" w:firstLine="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3D318B">
        <w:rPr>
          <w:rFonts w:ascii="Times New Roman" w:hAnsi="Times New Roman" w:cs="Times New Roman"/>
          <w:b w:val="0"/>
          <w:sz w:val="24"/>
          <w:szCs w:val="24"/>
        </w:rPr>
        <w:t>V celé ploše se sejme ornice a odstraní případná zeleň. Na terénní úpravy se použije zemina z výkopových prací. Zemní práce pro provedení výkopů budou provedeny strojně, dokopávky ručně. Předpokládá se, že výkopové práce neovlivní podzemní voda.</w:t>
      </w:r>
    </w:p>
    <w:p w:rsidR="0066014E" w:rsidRDefault="0066014E" w:rsidP="003D318B">
      <w:pPr>
        <w:pStyle w:val="4992uroven"/>
        <w:spacing w:before="0"/>
        <w:ind w:left="1134" w:firstLine="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6014E" w:rsidRDefault="0066014E" w:rsidP="0066014E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</w:pPr>
      <w:r w:rsidRPr="002F6239"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  <w:t xml:space="preserve">SO </w:t>
      </w:r>
      <w:r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  <w:t>08 Vodovod</w:t>
      </w:r>
    </w:p>
    <w:p w:rsidR="0066014E" w:rsidRPr="0066014E" w:rsidRDefault="0066014E" w:rsidP="0066014E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 w:rsidRPr="0066014E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 xml:space="preserve">Viz samostaná část. </w:t>
      </w:r>
    </w:p>
    <w:p w:rsidR="0066014E" w:rsidRDefault="0066014E" w:rsidP="0066014E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</w:pPr>
    </w:p>
    <w:p w:rsidR="0066014E" w:rsidRDefault="0066014E" w:rsidP="0066014E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</w:pPr>
      <w:r>
        <w:rPr>
          <w:rFonts w:ascii="Times New Roman" w:eastAsiaTheme="minorHAnsi" w:hAnsi="Times New Roman" w:cs="Times New Roman"/>
          <w:bCs w:val="0"/>
          <w:color w:val="00000A"/>
          <w:sz w:val="24"/>
          <w:szCs w:val="24"/>
        </w:rPr>
        <w:t>SO 09 Kanalizace</w:t>
      </w:r>
    </w:p>
    <w:p w:rsidR="0066014E" w:rsidRPr="0066014E" w:rsidRDefault="0066014E" w:rsidP="0066014E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 w:rsidRPr="0066014E"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 xml:space="preserve">Viz samostatná část. </w:t>
      </w:r>
    </w:p>
    <w:p w:rsidR="008645A8" w:rsidRPr="00C03D1C" w:rsidRDefault="008645A8" w:rsidP="003D31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645A8" w:rsidRDefault="008645A8" w:rsidP="008645A8">
      <w:pPr>
        <w:pStyle w:val="4993uroven"/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D.1.2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>Stavebně konstrukční řešení</w:t>
      </w:r>
    </w:p>
    <w:p w:rsidR="008645A8" w:rsidRDefault="008645A8" w:rsidP="008645A8">
      <w:pPr>
        <w:widowControl w:val="0"/>
        <w:spacing w:before="24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D.1.2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.a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Účel objektu</w:t>
      </w:r>
    </w:p>
    <w:p w:rsidR="008645A8" w:rsidRDefault="008645A8" w:rsidP="008645A8">
      <w:pPr>
        <w:pStyle w:val="499textodrazeny"/>
        <w:tabs>
          <w:tab w:val="left" w:pos="1080"/>
        </w:tabs>
        <w:spacing w:before="0"/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Objekt je určen pro volnočasové aktivity dětí</w:t>
      </w:r>
      <w:r w:rsidR="0093773B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A"/>
          <w:sz w:val="24"/>
          <w:szCs w:val="24"/>
        </w:rPr>
        <w:t>mládeže</w:t>
      </w:r>
      <w:r w:rsidR="0093773B">
        <w:rPr>
          <w:rFonts w:ascii="Times New Roman" w:hAnsi="Times New Roman" w:cs="Times New Roman"/>
          <w:color w:val="00000A"/>
          <w:sz w:val="24"/>
          <w:szCs w:val="24"/>
        </w:rPr>
        <w:t xml:space="preserve"> a dospělých.</w:t>
      </w:r>
    </w:p>
    <w:p w:rsidR="008645A8" w:rsidRDefault="008645A8" w:rsidP="008645A8">
      <w:pPr>
        <w:pStyle w:val="499textodrazeny"/>
        <w:tabs>
          <w:tab w:val="left" w:pos="1080"/>
        </w:tabs>
        <w:spacing w:before="0"/>
        <w:ind w:left="1069"/>
        <w:rPr>
          <w:rFonts w:ascii="Times New Roman" w:hAnsi="Times New Roman" w:cs="Times New Roman"/>
          <w:color w:val="00000A"/>
          <w:sz w:val="24"/>
          <w:szCs w:val="24"/>
        </w:rPr>
      </w:pPr>
    </w:p>
    <w:p w:rsidR="008645A8" w:rsidRDefault="008645A8" w:rsidP="008645A8">
      <w:pPr>
        <w:widowControl w:val="0"/>
        <w:spacing w:after="0"/>
        <w:ind w:left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D.1.2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.b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P</w:t>
      </w:r>
      <w:r>
        <w:rPr>
          <w:rFonts w:ascii="Times New Roman" w:eastAsia="Calibri" w:hAnsi="Times New Roman" w:cs="Times New Roman"/>
          <w:b/>
          <w:sz w:val="24"/>
          <w:szCs w:val="24"/>
        </w:rPr>
        <w:t>opis navrženého konstrukčního systému stavby, výsledek průzkumu stávajícího stavu nosného systému stavby při návrhu její změny</w:t>
      </w:r>
    </w:p>
    <w:p w:rsidR="008645A8" w:rsidRDefault="008645A8" w:rsidP="008645A8">
      <w:pPr>
        <w:widowControl w:val="0"/>
        <w:spacing w:after="0"/>
        <w:ind w:firstLine="851"/>
        <w:jc w:val="both"/>
        <w:rPr>
          <w:rFonts w:ascii="Arial" w:eastAsia="Calibri" w:hAnsi="Arial" w:cs="Arial"/>
          <w:b/>
          <w:bCs/>
          <w:color w:val="FF0000"/>
        </w:rPr>
      </w:pPr>
    </w:p>
    <w:p w:rsidR="008645A8" w:rsidRDefault="008645A8" w:rsidP="008645A8">
      <w:pPr>
        <w:spacing w:after="0" w:line="240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Herní prvky a mobiliář jsou převážně kovové. Kotvení dle doporučení výrobce. </w:t>
      </w:r>
    </w:p>
    <w:p w:rsidR="008645A8" w:rsidRDefault="008645A8" w:rsidP="008645A8">
      <w:pPr>
        <w:widowControl w:val="0"/>
        <w:spacing w:before="240"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D.1.2.c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Výsledky inženýrsko-geologického průzkumu</w:t>
      </w:r>
    </w:p>
    <w:p w:rsidR="008645A8" w:rsidRDefault="008645A8" w:rsidP="008645A8">
      <w:pPr>
        <w:pStyle w:val="Tlotextu"/>
        <w:tabs>
          <w:tab w:val="left" w:pos="567"/>
        </w:tabs>
        <w:spacing w:before="240" w:line="240" w:lineRule="auto"/>
        <w:ind w:left="113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Nebyl proveden. </w:t>
      </w:r>
    </w:p>
    <w:p w:rsidR="008645A8" w:rsidRDefault="008645A8" w:rsidP="008645A8">
      <w:pPr>
        <w:widowControl w:val="0"/>
        <w:spacing w:after="120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D.1.2.d   Navržené materiály a hlavní konstrukční prvky</w:t>
      </w:r>
    </w:p>
    <w:p w:rsidR="000968EA" w:rsidRDefault="008645A8" w:rsidP="00B9690B">
      <w:pPr>
        <w:suppressAutoHyphens w:val="0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Všechny herní prvky jsou navrženy typové od ověřených výrobců. Hlavní nosnou konstrukci tvoří převážně kov. </w:t>
      </w:r>
      <w:r>
        <w:rPr>
          <w:rFonts w:ascii="Times New Roman" w:hAnsi="Times New Roman" w:cs="Times New Roman"/>
          <w:sz w:val="24"/>
          <w:szCs w:val="24"/>
        </w:rPr>
        <w:t>Prostor bude vyplněn typickými herními prvky, které jsou opatřeny certifikací a jsou v souladu s podmínkami ČSN EN 1176, ČSN EN 1177.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0968EA" w:rsidRPr="00B9690B">
        <w:rPr>
          <w:rFonts w:ascii="Times New Roman" w:hAnsi="Times New Roman" w:cs="Times New Roman"/>
          <w:bCs/>
          <w:sz w:val="24"/>
          <w:szCs w:val="24"/>
        </w:rPr>
        <w:t>Herní prvky musí svou konstrukcí a nosností</w:t>
      </w:r>
      <w:r w:rsidR="000968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68EA" w:rsidRPr="00B9690B">
        <w:rPr>
          <w:rFonts w:ascii="Times New Roman" w:hAnsi="Times New Roman" w:cs="Times New Roman"/>
          <w:bCs/>
          <w:sz w:val="24"/>
          <w:szCs w:val="24"/>
        </w:rPr>
        <w:t>odpovídat možnosti použití i dospělými osobami, resp. případnému vandalismu</w:t>
      </w:r>
      <w:r w:rsidR="000968EA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Kotvení herních prvků a vybraného mobiliáře dle pokynů výrobce. </w:t>
      </w:r>
    </w:p>
    <w:p w:rsidR="00913652" w:rsidRPr="00B9690B" w:rsidRDefault="008645A8" w:rsidP="00B9690B">
      <w:pPr>
        <w:suppressAutoHyphens w:val="0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Nedílnou součástí herních prvků jsou bezpečnostní a dopadové plochy a ty jsou navrženy z písku a štěrku a z vrstvy E</w:t>
      </w:r>
      <w:r w:rsidR="00B9690B">
        <w:rPr>
          <w:rFonts w:ascii="Times New Roman" w:hAnsi="Times New Roman" w:cs="Times New Roman"/>
          <w:color w:val="00000A"/>
          <w:sz w:val="24"/>
          <w:szCs w:val="24"/>
        </w:rPr>
        <w:t>P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DM. </w:t>
      </w:r>
      <w:r w:rsidR="000968EA" w:rsidRPr="00EF1AEF">
        <w:rPr>
          <w:rFonts w:ascii="Times New Roman" w:hAnsi="Times New Roman" w:cs="Times New Roman"/>
          <w:bCs/>
          <w:sz w:val="24"/>
          <w:szCs w:val="24"/>
        </w:rPr>
        <w:t>Dopadové plochy navrhovaných herních prvků se nesmí vzájemně prolínat</w:t>
      </w:r>
      <w:r w:rsidR="000968EA">
        <w:rPr>
          <w:rFonts w:ascii="Times New Roman" w:hAnsi="Times New Roman" w:cs="Times New Roman"/>
          <w:bCs/>
          <w:sz w:val="24"/>
          <w:szCs w:val="24"/>
        </w:rPr>
        <w:t>, ani se</w:t>
      </w:r>
      <w:r w:rsidR="000968EA" w:rsidRPr="00EF1AEF">
        <w:rPr>
          <w:rFonts w:ascii="Times New Roman" w:hAnsi="Times New Roman" w:cs="Times New Roman"/>
          <w:bCs/>
          <w:sz w:val="24"/>
          <w:szCs w:val="24"/>
        </w:rPr>
        <w:t xml:space="preserve"> křížit se zpevněnými plochami či jinými pevnými</w:t>
      </w:r>
      <w:r w:rsidR="000968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68EA" w:rsidRPr="00EF1AEF">
        <w:rPr>
          <w:rFonts w:ascii="Times New Roman" w:hAnsi="Times New Roman" w:cs="Times New Roman"/>
          <w:bCs/>
          <w:sz w:val="24"/>
          <w:szCs w:val="24"/>
        </w:rPr>
        <w:t>konstrukcemi a zařízeními hřiště.</w:t>
      </w:r>
      <w:r w:rsidR="000968E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913652" w:rsidRPr="00B9690B" w:rsidSect="000968EA">
      <w:footerReference w:type="default" r:id="rId6"/>
      <w:pgSz w:w="11906" w:h="16838"/>
      <w:pgMar w:top="1417" w:right="1417" w:bottom="851" w:left="1417" w:header="0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5F4" w:rsidRDefault="003F55F4" w:rsidP="008645A8">
      <w:pPr>
        <w:spacing w:after="0" w:line="240" w:lineRule="auto"/>
      </w:pPr>
      <w:r>
        <w:separator/>
      </w:r>
    </w:p>
  </w:endnote>
  <w:endnote w:type="continuationSeparator" w:id="0">
    <w:p w:rsidR="003F55F4" w:rsidRDefault="003F55F4" w:rsidP="00864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ISOCPEUR">
    <w:altName w:val="Arial"/>
    <w:charset w:val="EE"/>
    <w:family w:val="swiss"/>
    <w:pitch w:val="variable"/>
    <w:sig w:usb0="00000001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7320153"/>
      <w:docPartObj>
        <w:docPartGallery w:val="Page Numbers (Bottom of Page)"/>
        <w:docPartUnique/>
      </w:docPartObj>
    </w:sdtPr>
    <w:sdtEndPr/>
    <w:sdtContent>
      <w:p w:rsidR="008645A8" w:rsidRDefault="008645A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6C9">
          <w:rPr>
            <w:noProof/>
          </w:rPr>
          <w:t>4</w:t>
        </w:r>
        <w:r>
          <w:fldChar w:fldCharType="end"/>
        </w:r>
      </w:p>
    </w:sdtContent>
  </w:sdt>
  <w:p w:rsidR="008645A8" w:rsidRDefault="008645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5F4" w:rsidRDefault="003F55F4" w:rsidP="008645A8">
      <w:pPr>
        <w:spacing w:after="0" w:line="240" w:lineRule="auto"/>
      </w:pPr>
      <w:r>
        <w:separator/>
      </w:r>
    </w:p>
  </w:footnote>
  <w:footnote w:type="continuationSeparator" w:id="0">
    <w:p w:rsidR="003F55F4" w:rsidRDefault="003F55F4" w:rsidP="00864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5A8"/>
    <w:rsid w:val="000401CE"/>
    <w:rsid w:val="000968EA"/>
    <w:rsid w:val="001A671C"/>
    <w:rsid w:val="0022070C"/>
    <w:rsid w:val="002F6239"/>
    <w:rsid w:val="003669E3"/>
    <w:rsid w:val="00370BCD"/>
    <w:rsid w:val="003D318B"/>
    <w:rsid w:val="003F55F4"/>
    <w:rsid w:val="004018B6"/>
    <w:rsid w:val="00545081"/>
    <w:rsid w:val="005551BC"/>
    <w:rsid w:val="0066014E"/>
    <w:rsid w:val="008149C3"/>
    <w:rsid w:val="008645A8"/>
    <w:rsid w:val="00913652"/>
    <w:rsid w:val="0093773B"/>
    <w:rsid w:val="00B2566D"/>
    <w:rsid w:val="00B9690B"/>
    <w:rsid w:val="00D5551D"/>
    <w:rsid w:val="00E07A70"/>
    <w:rsid w:val="00E12103"/>
    <w:rsid w:val="00E556C9"/>
    <w:rsid w:val="00E92B87"/>
    <w:rsid w:val="00EF1AEF"/>
    <w:rsid w:val="00F02D84"/>
    <w:rsid w:val="00FC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D4D444-488F-4771-BD7F-4CDB3D4A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239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4993urovenChar">
    <w:name w:val="499_3uroven Char"/>
    <w:basedOn w:val="Standardnpsmoodstavce"/>
    <w:link w:val="4993uroven"/>
    <w:uiPriority w:val="99"/>
    <w:rsid w:val="008645A8"/>
    <w:rPr>
      <w:rFonts w:ascii="Arial" w:eastAsia="Calibri" w:hAnsi="Arial" w:cs="Arial"/>
      <w:color w:val="000000"/>
      <w:sz w:val="20"/>
      <w:szCs w:val="20"/>
    </w:rPr>
  </w:style>
  <w:style w:type="character" w:customStyle="1" w:styleId="4992urovenChar">
    <w:name w:val="499_2uroven Char"/>
    <w:basedOn w:val="Standardnpsmoodstavce"/>
    <w:link w:val="4992uroven"/>
    <w:uiPriority w:val="99"/>
    <w:rsid w:val="008645A8"/>
    <w:rPr>
      <w:rFonts w:ascii="Arial" w:eastAsia="Calibri" w:hAnsi="Arial" w:cs="Arial"/>
      <w:b/>
      <w:bCs/>
      <w:color w:val="000000"/>
    </w:rPr>
  </w:style>
  <w:style w:type="character" w:customStyle="1" w:styleId="4991urovenChar">
    <w:name w:val="499_1uroven Char"/>
    <w:basedOn w:val="Standardnpsmoodstavce"/>
    <w:link w:val="4991uroven"/>
    <w:uiPriority w:val="99"/>
    <w:rsid w:val="008645A8"/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8645A8"/>
    <w:rPr>
      <w:rFonts w:ascii="Arial" w:eastAsia="Calibri" w:hAnsi="Arial" w:cs="Arial"/>
      <w:color w:val="000000"/>
      <w:sz w:val="18"/>
      <w:szCs w:val="18"/>
    </w:rPr>
  </w:style>
  <w:style w:type="character" w:customStyle="1" w:styleId="ZkladntextChar">
    <w:name w:val="Základní text Char"/>
    <w:basedOn w:val="Standardnpsmoodstavce"/>
    <w:link w:val="Tlotextu"/>
    <w:uiPriority w:val="99"/>
    <w:rsid w:val="008645A8"/>
  </w:style>
  <w:style w:type="paragraph" w:customStyle="1" w:styleId="Tlotextu">
    <w:name w:val="Tělo textu"/>
    <w:basedOn w:val="Normln"/>
    <w:link w:val="ZkladntextChar"/>
    <w:uiPriority w:val="99"/>
    <w:unhideWhenUsed/>
    <w:rsid w:val="008645A8"/>
    <w:pPr>
      <w:spacing w:after="120" w:line="288" w:lineRule="auto"/>
    </w:pPr>
  </w:style>
  <w:style w:type="paragraph" w:customStyle="1" w:styleId="4993uroven">
    <w:name w:val="499_3uroven"/>
    <w:basedOn w:val="Normln"/>
    <w:link w:val="4993urovenChar"/>
    <w:uiPriority w:val="99"/>
    <w:rsid w:val="008645A8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</w:rPr>
  </w:style>
  <w:style w:type="paragraph" w:customStyle="1" w:styleId="4992uroven">
    <w:name w:val="499_2uroven"/>
    <w:basedOn w:val="Normln"/>
    <w:link w:val="4992urovenChar"/>
    <w:uiPriority w:val="99"/>
    <w:rsid w:val="008645A8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8645A8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8645A8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64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45A8"/>
  </w:style>
  <w:style w:type="paragraph" w:styleId="Zpat">
    <w:name w:val="footer"/>
    <w:basedOn w:val="Normln"/>
    <w:link w:val="ZpatChar"/>
    <w:uiPriority w:val="99"/>
    <w:unhideWhenUsed/>
    <w:rsid w:val="00864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45A8"/>
  </w:style>
  <w:style w:type="paragraph" w:styleId="Textbubliny">
    <w:name w:val="Balloon Text"/>
    <w:basedOn w:val="Normln"/>
    <w:link w:val="TextbublinyChar"/>
    <w:uiPriority w:val="99"/>
    <w:semiHidden/>
    <w:unhideWhenUsed/>
    <w:rsid w:val="00366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6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1121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Lucinka</dc:creator>
  <cp:lastModifiedBy>Zuzana Konhefrová</cp:lastModifiedBy>
  <cp:revision>18</cp:revision>
  <cp:lastPrinted>2017-03-27T12:19:00Z</cp:lastPrinted>
  <dcterms:created xsi:type="dcterms:W3CDTF">2016-06-15T06:43:00Z</dcterms:created>
  <dcterms:modified xsi:type="dcterms:W3CDTF">2017-06-30T05:28:00Z</dcterms:modified>
</cp:coreProperties>
</file>